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Barlow" w:cs="Barlow" w:eastAsia="Barlow" w:hAnsi="Barlow"/>
          <w:b w:val="1"/>
          <w:color w:val="3a3a3a"/>
          <w:sz w:val="21"/>
          <w:szCs w:val="21"/>
          <w:highlight w:val="white"/>
        </w:rPr>
      </w:pPr>
      <w:r w:rsidDel="00000000" w:rsidR="00000000" w:rsidRPr="00000000">
        <w:rPr>
          <w:rFonts w:ascii="Barlow" w:cs="Barlow" w:eastAsia="Barlow" w:hAnsi="Barlow"/>
          <w:b w:val="1"/>
          <w:color w:val="3a3a3a"/>
          <w:sz w:val="21"/>
          <w:szCs w:val="21"/>
          <w:highlight w:val="white"/>
          <w:rtl w:val="0"/>
        </w:rPr>
        <w:t xml:space="preserve">This campaign is designed to help you market the next generation of Nessus, Nessus Expert, to your customers. This campaign contains 2 emails and 4 social posts.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Barlow" w:cs="Barlow" w:eastAsia="Barlow" w:hAnsi="Barlow"/>
          <w:color w:val="3a3a3a"/>
          <w:sz w:val="21"/>
          <w:szCs w:val="21"/>
          <w:highlight w:val="white"/>
        </w:rPr>
      </w:pPr>
      <w:r w:rsidDel="00000000" w:rsidR="00000000" w:rsidRPr="00000000">
        <w:rPr>
          <w:rFonts w:ascii="Barlow" w:cs="Barlow" w:eastAsia="Barlow" w:hAnsi="Barlow"/>
          <w:color w:val="3a3a3a"/>
          <w:sz w:val="21"/>
          <w:szCs w:val="21"/>
          <w:highlight w:val="white"/>
          <w:rtl w:val="0"/>
        </w:rPr>
        <w:t xml:space="preserve">The Nessus brand is the industry's most recognized vulnerability scanner. Nessus Expert builds upon that legacy by becoming the first Vulnerability Assessment solution for complete visibility across the modern day attack surface. Nessus Expert helps pentesters, consultants, and SMB’s understand risk beyond traditional IT assets, Infrastructure as code (IaC) deployments and the evolving risk of unknown, external assets exposed to the internet.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rFonts w:ascii="Barlow" w:cs="Barlow" w:eastAsia="Barlow" w:hAnsi="Barlow"/>
          <w:b w:val="1"/>
          <w:color w:val="3a3a3a"/>
          <w:sz w:val="21"/>
          <w:szCs w:val="21"/>
          <w:highlight w:val="white"/>
        </w:rPr>
      </w:pPr>
      <w:r w:rsidDel="00000000" w:rsidR="00000000" w:rsidRPr="00000000">
        <w:rPr>
          <w:rFonts w:ascii="Barlow" w:cs="Barlow" w:eastAsia="Barlow" w:hAnsi="Barlow"/>
          <w:b w:val="1"/>
          <w:color w:val="3a3a3a"/>
          <w:sz w:val="21"/>
          <w:szCs w:val="21"/>
          <w:highlight w:val="white"/>
          <w:rtl w:val="0"/>
        </w:rPr>
        <w:t xml:space="preserve">Buyers:</w:t>
      </w:r>
    </w:p>
    <w:p w:rsidR="00000000" w:rsidDel="00000000" w:rsidP="00000000" w:rsidRDefault="00000000" w:rsidRPr="00000000" w14:paraId="00000006">
      <w:pPr>
        <w:numPr>
          <w:ilvl w:val="0"/>
          <w:numId w:val="3"/>
        </w:numPr>
        <w:shd w:fill="ffffff" w:val="clear"/>
        <w:spacing w:after="0" w:afterAutospacing="0" w:lineRule="auto"/>
        <w:ind w:left="720" w:hanging="360"/>
      </w:pPr>
      <w:r w:rsidDel="00000000" w:rsidR="00000000" w:rsidRPr="00000000">
        <w:rPr>
          <w:rFonts w:ascii="Barlow" w:cs="Barlow" w:eastAsia="Barlow" w:hAnsi="Barlow"/>
          <w:b w:val="1"/>
          <w:color w:val="3a3a3a"/>
          <w:sz w:val="21"/>
          <w:szCs w:val="21"/>
          <w:rtl w:val="0"/>
        </w:rPr>
        <w:t xml:space="preserve">For current install base (Upsell): </w:t>
      </w:r>
      <w:r w:rsidDel="00000000" w:rsidR="00000000" w:rsidRPr="00000000">
        <w:rPr>
          <w:rFonts w:ascii="Barlow" w:cs="Barlow" w:eastAsia="Barlow" w:hAnsi="Barlow"/>
          <w:color w:val="3a3a3a"/>
          <w:sz w:val="21"/>
          <w:szCs w:val="21"/>
          <w:rtl w:val="0"/>
        </w:rPr>
        <w:t xml:space="preserve">Nessus Essentials, Nessus Professional: Pentesters, Consultants, SMB</w:t>
      </w:r>
    </w:p>
    <w:p w:rsidR="00000000" w:rsidDel="00000000" w:rsidP="00000000" w:rsidRDefault="00000000" w:rsidRPr="00000000" w14:paraId="00000007">
      <w:pPr>
        <w:numPr>
          <w:ilvl w:val="0"/>
          <w:numId w:val="3"/>
        </w:numPr>
        <w:shd w:fill="ffffff" w:val="clear"/>
        <w:spacing w:after="0" w:afterAutospacing="0" w:lineRule="auto"/>
        <w:ind w:left="720" w:hanging="360"/>
      </w:pPr>
      <w:r w:rsidDel="00000000" w:rsidR="00000000" w:rsidRPr="00000000">
        <w:rPr>
          <w:rFonts w:ascii="Barlow" w:cs="Barlow" w:eastAsia="Barlow" w:hAnsi="Barlow"/>
          <w:b w:val="1"/>
          <w:color w:val="3a3a3a"/>
          <w:sz w:val="21"/>
          <w:szCs w:val="21"/>
          <w:rtl w:val="0"/>
        </w:rPr>
        <w:t xml:space="preserve">For greenfield/prospects (New New): </w:t>
      </w:r>
      <w:r w:rsidDel="00000000" w:rsidR="00000000" w:rsidRPr="00000000">
        <w:rPr>
          <w:rFonts w:ascii="Barlow" w:cs="Barlow" w:eastAsia="Barlow" w:hAnsi="Barlow"/>
          <w:color w:val="3a3a3a"/>
          <w:sz w:val="21"/>
          <w:szCs w:val="21"/>
          <w:rtl w:val="0"/>
        </w:rPr>
        <w:t xml:space="preserve">Pentesters, Consultants, SMB, Cloud Security Practitioners, Cloud Developers</w:t>
      </w:r>
    </w:p>
    <w:p w:rsidR="00000000" w:rsidDel="00000000" w:rsidP="00000000" w:rsidRDefault="00000000" w:rsidRPr="00000000" w14:paraId="00000008">
      <w:pPr>
        <w:numPr>
          <w:ilvl w:val="0"/>
          <w:numId w:val="3"/>
        </w:numPr>
        <w:shd w:fill="ffffff" w:val="clear"/>
        <w:spacing w:after="160" w:lineRule="auto"/>
        <w:ind w:left="720" w:hanging="360"/>
      </w:pPr>
      <w:r w:rsidDel="00000000" w:rsidR="00000000" w:rsidRPr="00000000">
        <w:rPr>
          <w:rFonts w:ascii="Barlow" w:cs="Barlow" w:eastAsia="Barlow" w:hAnsi="Barlow"/>
          <w:b w:val="1"/>
          <w:color w:val="3a3a3a"/>
          <w:sz w:val="21"/>
          <w:szCs w:val="21"/>
          <w:rtl w:val="0"/>
        </w:rPr>
        <w:t xml:space="preserve">Emerging category buyers: </w:t>
      </w:r>
      <w:r w:rsidDel="00000000" w:rsidR="00000000" w:rsidRPr="00000000">
        <w:rPr>
          <w:rFonts w:ascii="Barlow" w:cs="Barlow" w:eastAsia="Barlow" w:hAnsi="Barlow"/>
          <w:color w:val="3a3a3a"/>
          <w:sz w:val="21"/>
          <w:szCs w:val="21"/>
          <w:rtl w:val="0"/>
        </w:rPr>
        <w:t xml:space="preserve">DevSecOps. Primarily through Terrascan functionality.</w:t>
      </w:r>
    </w:p>
    <w:p w:rsidR="00000000" w:rsidDel="00000000" w:rsidP="00000000" w:rsidRDefault="00000000" w:rsidRPr="00000000" w14:paraId="00000009">
      <w:pPr>
        <w:rPr>
          <w:rFonts w:ascii="Barlow" w:cs="Barlow" w:eastAsia="Barlow" w:hAnsi="Barlow"/>
          <w:b w:val="1"/>
          <w:color w:val="3a3a3a"/>
          <w:sz w:val="21"/>
          <w:szCs w:val="21"/>
          <w:highlight w:val="white"/>
        </w:rPr>
      </w:pPr>
      <w:r w:rsidDel="00000000" w:rsidR="00000000" w:rsidRPr="00000000">
        <w:rPr>
          <w:rFonts w:ascii="Barlow" w:cs="Barlow" w:eastAsia="Barlow" w:hAnsi="Barlow"/>
          <w:b w:val="1"/>
          <w:color w:val="3a3a3a"/>
          <w:sz w:val="21"/>
          <w:szCs w:val="21"/>
          <w:highlight w:val="white"/>
          <w:rtl w:val="0"/>
        </w:rPr>
        <w:t xml:space="preserve">Capabilities</w:t>
      </w:r>
    </w:p>
    <w:p w:rsidR="00000000" w:rsidDel="00000000" w:rsidP="00000000" w:rsidRDefault="00000000" w:rsidRPr="00000000" w14:paraId="0000000A">
      <w:pPr>
        <w:numPr>
          <w:ilvl w:val="0"/>
          <w:numId w:val="2"/>
        </w:numPr>
        <w:shd w:fill="ffffff" w:val="clear"/>
        <w:spacing w:after="0" w:afterAutospacing="0" w:lineRule="auto"/>
        <w:ind w:left="720" w:hanging="360"/>
      </w:pPr>
      <w:r w:rsidDel="00000000" w:rsidR="00000000" w:rsidRPr="00000000">
        <w:rPr>
          <w:rFonts w:ascii="Barlow" w:cs="Barlow" w:eastAsia="Barlow" w:hAnsi="Barlow"/>
          <w:b w:val="1"/>
          <w:color w:val="3a3a3a"/>
          <w:sz w:val="21"/>
          <w:szCs w:val="21"/>
          <w:rtl w:val="0"/>
        </w:rPr>
        <w:t xml:space="preserve">Scan Infrastructure as code (IaC) Repositories:</w:t>
      </w:r>
      <w:r w:rsidDel="00000000" w:rsidR="00000000" w:rsidRPr="00000000">
        <w:rPr>
          <w:rFonts w:ascii="Barlow" w:cs="Barlow" w:eastAsia="Barlow" w:hAnsi="Barlow"/>
          <w:color w:val="3a3a3a"/>
          <w:sz w:val="21"/>
          <w:szCs w:val="21"/>
          <w:rtl w:val="0"/>
        </w:rPr>
        <w:t xml:space="preserve"> Nessus Expert allows customers to scan their IaC repositories before pushing to production as part of the CI/CD pipeline to prevent pushing unknown risks into production environments.</w:t>
      </w:r>
    </w:p>
    <w:p w:rsidR="00000000" w:rsidDel="00000000" w:rsidP="00000000" w:rsidRDefault="00000000" w:rsidRPr="00000000" w14:paraId="0000000B">
      <w:pPr>
        <w:numPr>
          <w:ilvl w:val="0"/>
          <w:numId w:val="2"/>
        </w:numPr>
        <w:shd w:fill="ffffff" w:val="clear"/>
        <w:spacing w:after="160" w:lineRule="auto"/>
        <w:ind w:left="720" w:hanging="360"/>
      </w:pPr>
      <w:r w:rsidDel="00000000" w:rsidR="00000000" w:rsidRPr="00000000">
        <w:rPr>
          <w:rFonts w:ascii="Barlow" w:cs="Barlow" w:eastAsia="Barlow" w:hAnsi="Barlow"/>
          <w:b w:val="1"/>
          <w:color w:val="3a3a3a"/>
          <w:sz w:val="21"/>
          <w:szCs w:val="21"/>
          <w:rtl w:val="0"/>
        </w:rPr>
        <w:t xml:space="preserve">External Attack Surface Management: </w:t>
      </w:r>
      <w:r w:rsidDel="00000000" w:rsidR="00000000" w:rsidRPr="00000000">
        <w:rPr>
          <w:rFonts w:ascii="Barlow" w:cs="Barlow" w:eastAsia="Barlow" w:hAnsi="Barlow"/>
          <w:color w:val="3a3a3a"/>
          <w:sz w:val="21"/>
          <w:szCs w:val="21"/>
          <w:rtl w:val="0"/>
        </w:rPr>
        <w:t xml:space="preserve">Scan up to 5 top level domains per quarter to find and understand unknown assets on your external attack surface.</w:t>
      </w:r>
    </w:p>
    <w:p w:rsidR="00000000" w:rsidDel="00000000" w:rsidP="00000000" w:rsidRDefault="00000000" w:rsidRPr="00000000" w14:paraId="0000000C">
      <w:pPr>
        <w:rPr>
          <w:rFonts w:ascii="Barlow" w:cs="Barlow" w:eastAsia="Barlow" w:hAnsi="Barlow"/>
          <w:b w:val="1"/>
          <w:color w:val="3a3a3a"/>
          <w:sz w:val="21"/>
          <w:szCs w:val="21"/>
          <w:highlight w:val="white"/>
        </w:rPr>
      </w:pPr>
      <w:r w:rsidDel="00000000" w:rsidR="00000000" w:rsidRPr="00000000">
        <w:rPr>
          <w:rFonts w:ascii="Barlow" w:cs="Barlow" w:eastAsia="Barlow" w:hAnsi="Barlow"/>
          <w:b w:val="1"/>
          <w:color w:val="3a3a3a"/>
          <w:sz w:val="21"/>
          <w:szCs w:val="21"/>
          <w:highlight w:val="white"/>
          <w:rtl w:val="0"/>
        </w:rPr>
        <w:t xml:space="preserve">Benefits</w:t>
      </w:r>
    </w:p>
    <w:p w:rsidR="00000000" w:rsidDel="00000000" w:rsidP="00000000" w:rsidRDefault="00000000" w:rsidRPr="00000000" w14:paraId="0000000D">
      <w:pPr>
        <w:numPr>
          <w:ilvl w:val="0"/>
          <w:numId w:val="1"/>
        </w:numPr>
        <w:shd w:fill="ffffff" w:val="clear"/>
        <w:spacing w:after="0" w:afterAutospacing="0" w:lineRule="auto"/>
        <w:ind w:left="720" w:hanging="360"/>
      </w:pPr>
      <w:r w:rsidDel="00000000" w:rsidR="00000000" w:rsidRPr="00000000">
        <w:rPr>
          <w:rFonts w:ascii="Barlow" w:cs="Barlow" w:eastAsia="Barlow" w:hAnsi="Barlow"/>
          <w:color w:val="3a3a3a"/>
          <w:sz w:val="21"/>
          <w:szCs w:val="21"/>
          <w:rtl w:val="0"/>
        </w:rPr>
        <w:t xml:space="preserve">Take advantage of a trusted solution to expand into cloud and attack surface management.</w:t>
      </w:r>
    </w:p>
    <w:p w:rsidR="00000000" w:rsidDel="00000000" w:rsidP="00000000" w:rsidRDefault="00000000" w:rsidRPr="00000000" w14:paraId="0000000E">
      <w:pPr>
        <w:numPr>
          <w:ilvl w:val="0"/>
          <w:numId w:val="1"/>
        </w:numPr>
        <w:shd w:fill="ffffff" w:val="clear"/>
        <w:spacing w:after="0" w:afterAutospacing="0" w:lineRule="auto"/>
        <w:ind w:left="720" w:hanging="360"/>
      </w:pPr>
      <w:r w:rsidDel="00000000" w:rsidR="00000000" w:rsidRPr="00000000">
        <w:rPr>
          <w:rFonts w:ascii="Barlow" w:cs="Barlow" w:eastAsia="Barlow" w:hAnsi="Barlow"/>
          <w:color w:val="3a3a3a"/>
          <w:sz w:val="21"/>
          <w:szCs w:val="21"/>
          <w:rtl w:val="0"/>
        </w:rPr>
        <w:t xml:space="preserve">Provide a more comprehensive and thorough assessment for your customers for a differentiated service offering.</w:t>
      </w:r>
    </w:p>
    <w:p w:rsidR="00000000" w:rsidDel="00000000" w:rsidP="00000000" w:rsidRDefault="00000000" w:rsidRPr="00000000" w14:paraId="0000000F">
      <w:pPr>
        <w:numPr>
          <w:ilvl w:val="0"/>
          <w:numId w:val="1"/>
        </w:numPr>
        <w:shd w:fill="ffffff" w:val="clear"/>
        <w:spacing w:after="0" w:afterAutospacing="0" w:lineRule="auto"/>
        <w:ind w:left="720" w:hanging="360"/>
      </w:pPr>
      <w:r w:rsidDel="00000000" w:rsidR="00000000" w:rsidRPr="00000000">
        <w:rPr>
          <w:rFonts w:ascii="Barlow" w:cs="Barlow" w:eastAsia="Barlow" w:hAnsi="Barlow"/>
          <w:color w:val="3a3a3a"/>
          <w:sz w:val="21"/>
          <w:szCs w:val="21"/>
          <w:rtl w:val="0"/>
        </w:rPr>
        <w:t xml:space="preserve">Simplify analysis and reporting capabilities by using a single product to assess the modern attack surface.</w:t>
      </w:r>
    </w:p>
    <w:p w:rsidR="00000000" w:rsidDel="00000000" w:rsidP="00000000" w:rsidRDefault="00000000" w:rsidRPr="00000000" w14:paraId="00000010">
      <w:pPr>
        <w:numPr>
          <w:ilvl w:val="0"/>
          <w:numId w:val="1"/>
        </w:numPr>
        <w:shd w:fill="ffffff" w:val="clear"/>
        <w:spacing w:after="160" w:lineRule="auto"/>
        <w:ind w:left="720" w:hanging="360"/>
      </w:pPr>
      <w:r w:rsidDel="00000000" w:rsidR="00000000" w:rsidRPr="00000000">
        <w:rPr>
          <w:rFonts w:ascii="Barlow" w:cs="Barlow" w:eastAsia="Barlow" w:hAnsi="Barlow"/>
          <w:color w:val="3a3a3a"/>
          <w:sz w:val="21"/>
          <w:szCs w:val="21"/>
          <w:rtl w:val="0"/>
        </w:rPr>
        <w:t xml:space="preserve">Combine traditional IT, Infrastructure as Code (IaC) and external attack surface management all within one tool</w:t>
      </w:r>
    </w:p>
    <w:p w:rsidR="00000000" w:rsidDel="00000000" w:rsidP="00000000" w:rsidRDefault="00000000" w:rsidRPr="00000000" w14:paraId="0000001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Barlow" w:cs="Barlow" w:eastAsia="Barlow" w:hAnsi="Barlow"/>
        <w:color w:val="3a3a3a"/>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Barlow" w:cs="Barlow" w:eastAsia="Barlow" w:hAnsi="Barlow"/>
        <w:color w:val="3a3a3a"/>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Barlow" w:cs="Barlow" w:eastAsia="Barlow" w:hAnsi="Barlow"/>
        <w:color w:val="3a3a3a"/>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